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5AE" w:rsidRPr="009D45AE" w:rsidRDefault="009D45AE" w:rsidP="009D45AE">
      <w:pPr>
        <w:outlineLvl w:val="0"/>
        <w:rPr>
          <w:rFonts w:ascii="Calibri" w:hAnsi="Calibri" w:cs="Calibri"/>
          <w:b/>
          <w:sz w:val="28"/>
          <w:szCs w:val="28"/>
          <w:u w:val="single"/>
          <w:lang w:val="en-US"/>
        </w:rPr>
      </w:pPr>
      <w:r>
        <w:rPr>
          <w:rFonts w:ascii="Calibri" w:hAnsi="Calibri" w:cs="Calibri"/>
          <w:sz w:val="22"/>
          <w:szCs w:val="22"/>
          <w:lang w:val="en-US"/>
        </w:rPr>
        <w:br/>
      </w:r>
      <w:bookmarkStart w:id="0" w:name="_GoBack"/>
      <w:r w:rsidRPr="009D45AE">
        <w:rPr>
          <w:rFonts w:ascii="Calibri" w:hAnsi="Calibri" w:cs="Calibri"/>
          <w:b/>
          <w:sz w:val="28"/>
          <w:szCs w:val="28"/>
          <w:lang w:val="en-US"/>
        </w:rPr>
        <w:t xml:space="preserve">                            </w:t>
      </w:r>
      <w:bookmarkEnd w:id="0"/>
      <w:r w:rsidRPr="009D45AE">
        <w:rPr>
          <w:rFonts w:ascii="Calibri" w:hAnsi="Calibri" w:cs="Calibri"/>
          <w:b/>
          <w:sz w:val="28"/>
          <w:szCs w:val="28"/>
          <w:u w:val="single"/>
          <w:lang w:val="en-US"/>
        </w:rPr>
        <w:t>4G router data extended to July 2021</w:t>
      </w:r>
    </w:p>
    <w:p w:rsidR="009D45AE" w:rsidRDefault="009D45AE" w:rsidP="009D45AE"/>
    <w:p w:rsidR="009D45AE" w:rsidRDefault="009D45AE" w:rsidP="009D45AE">
      <w:pPr>
        <w:rPr>
          <w:rFonts w:ascii="Helvetica" w:hAnsi="Helvetica"/>
          <w:color w:val="0B0C0C"/>
          <w:lang w:val="en"/>
        </w:rPr>
      </w:pPr>
      <w:r>
        <w:rPr>
          <w:rFonts w:ascii="Helvetica" w:hAnsi="Helvetica"/>
          <w:color w:val="FFFFFF"/>
          <w:sz w:val="2"/>
          <w:szCs w:val="2"/>
          <w:lang w:val="en"/>
        </w:rPr>
        <w:t xml:space="preserve">Dear colleague, </w:t>
      </w:r>
      <w:proofErr w:type="gramStart"/>
      <w:r>
        <w:rPr>
          <w:rFonts w:ascii="Helvetica" w:hAnsi="Helvetica"/>
          <w:color w:val="FFFFFF"/>
          <w:sz w:val="2"/>
          <w:szCs w:val="2"/>
          <w:lang w:val="en"/>
        </w:rPr>
        <w:t>We’ve</w:t>
      </w:r>
      <w:proofErr w:type="gramEnd"/>
      <w:r>
        <w:rPr>
          <w:rFonts w:ascii="Helvetica" w:hAnsi="Helvetica"/>
          <w:color w:val="FFFFFF"/>
          <w:sz w:val="2"/>
          <w:szCs w:val="2"/>
          <w:lang w:val="en"/>
        </w:rPr>
        <w:t xml:space="preserve"> extended the contract for all SIM cards included with 4G wireless routers to continue our support for disadvantaged children who are remote learning during the coronavirus pandemic. These SIM cards will now remain active until the end…</w:t>
      </w:r>
      <w:r>
        <w:rPr>
          <w:rFonts w:ascii="Helvetica" w:hAnsi="Helvetica"/>
          <w:color w:val="0B0C0C"/>
          <w:lang w:val="en"/>
        </w:rPr>
        <w:t xml:space="preserve"> </w:t>
      </w:r>
    </w:p>
    <w:tbl>
      <w:tblPr>
        <w:tblW w:w="5000" w:type="pct"/>
        <w:tblCellMar>
          <w:left w:w="0" w:type="dxa"/>
          <w:right w:w="0" w:type="dxa"/>
        </w:tblCellMar>
        <w:tblLook w:val="04A0" w:firstRow="1" w:lastRow="0" w:firstColumn="1" w:lastColumn="0" w:noHBand="0" w:noVBand="1"/>
      </w:tblPr>
      <w:tblGrid>
        <w:gridCol w:w="9026"/>
      </w:tblGrid>
      <w:tr w:rsidR="009D45AE" w:rsidTr="009D45AE">
        <w:trPr>
          <w:trHeight w:val="795"/>
        </w:trPr>
        <w:tc>
          <w:tcPr>
            <w:tcW w:w="5000" w:type="pct"/>
            <w:shd w:val="clear" w:color="auto" w:fill="0B0C0C"/>
            <w:vAlign w:val="center"/>
            <w:hideMark/>
          </w:tcPr>
          <w:tbl>
            <w:tblPr>
              <w:tblW w:w="8700" w:type="dxa"/>
              <w:jc w:val="center"/>
              <w:tblCellMar>
                <w:left w:w="0" w:type="dxa"/>
                <w:right w:w="0" w:type="dxa"/>
              </w:tblCellMar>
              <w:tblLook w:val="04A0" w:firstRow="1" w:lastRow="0" w:firstColumn="1" w:lastColumn="0" w:noHBand="0" w:noVBand="1"/>
            </w:tblPr>
            <w:tblGrid>
              <w:gridCol w:w="8700"/>
            </w:tblGrid>
            <w:tr w:rsidR="009D45AE">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700"/>
                  </w:tblGrid>
                  <w:tr w:rsidR="009D45AE">
                    <w:trPr>
                      <w:jc w:val="center"/>
                    </w:trPr>
                    <w:tc>
                      <w:tcPr>
                        <w:tcW w:w="1050" w:type="dxa"/>
                        <w:shd w:val="clear" w:color="auto" w:fill="0B0C0C"/>
                        <w:vAlign w:val="center"/>
                        <w:hideMark/>
                      </w:tcPr>
                      <w:tbl>
                        <w:tblPr>
                          <w:tblW w:w="0" w:type="auto"/>
                          <w:tblCellMar>
                            <w:left w:w="0" w:type="dxa"/>
                            <w:right w:w="0" w:type="dxa"/>
                          </w:tblCellMar>
                          <w:tblLook w:val="04A0" w:firstRow="1" w:lastRow="0" w:firstColumn="1" w:lastColumn="0" w:noHBand="0" w:noVBand="1"/>
                        </w:tblPr>
                        <w:tblGrid>
                          <w:gridCol w:w="690"/>
                          <w:gridCol w:w="1807"/>
                        </w:tblGrid>
                        <w:tr w:rsidR="009D45AE">
                          <w:tc>
                            <w:tcPr>
                              <w:tcW w:w="0" w:type="auto"/>
                              <w:tcMar>
                                <w:top w:w="0" w:type="dxa"/>
                                <w:left w:w="150" w:type="dxa"/>
                                <w:bottom w:w="0" w:type="dxa"/>
                                <w:right w:w="0" w:type="dxa"/>
                              </w:tcMar>
                              <w:vAlign w:val="center"/>
                              <w:hideMark/>
                            </w:tcPr>
                            <w:p w:rsidR="009D45AE" w:rsidRDefault="009D45AE">
                              <w:r>
                                <w:rPr>
                                  <w:noProof/>
                                </w:rPr>
                                <w:drawing>
                                  <wp:inline distT="0" distB="0" distL="0" distR="0">
                                    <wp:extent cx="342900" cy="304800"/>
                                    <wp:effectExtent l="0" t="0" r="0" b="0"/>
                                    <wp:docPr id="1" name="Picture 1" descr="https://static.notifications.service.gov.uk/images/gov.uk_logotype_cr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notifications.service.gov.uk/images/gov.uk_logotype_crow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p>
                          </w:tc>
                          <w:tc>
                            <w:tcPr>
                              <w:tcW w:w="0" w:type="auto"/>
                              <w:tcMar>
                                <w:top w:w="0" w:type="dxa"/>
                                <w:left w:w="150" w:type="dxa"/>
                                <w:bottom w:w="0" w:type="dxa"/>
                                <w:right w:w="0" w:type="dxa"/>
                              </w:tcMar>
                              <w:vAlign w:val="center"/>
                              <w:hideMark/>
                            </w:tcPr>
                            <w:p w:rsidR="009D45AE" w:rsidRDefault="009D45AE">
                              <w:pPr>
                                <w:spacing w:before="60"/>
                                <w:rPr>
                                  <w:sz w:val="42"/>
                                  <w:szCs w:val="42"/>
                                </w:rPr>
                              </w:pPr>
                              <w:r>
                                <w:rPr>
                                  <w:rFonts w:ascii="Helvetica" w:hAnsi="Helvetica"/>
                                  <w:b/>
                                  <w:bCs/>
                                  <w:color w:val="FFFFFF"/>
                                  <w:sz w:val="42"/>
                                  <w:szCs w:val="42"/>
                                </w:rPr>
                                <w:t>GOV.UK</w:t>
                              </w:r>
                              <w:r>
                                <w:rPr>
                                  <w:sz w:val="42"/>
                                  <w:szCs w:val="42"/>
                                </w:rPr>
                                <w:t xml:space="preserve"> </w:t>
                              </w:r>
                            </w:p>
                          </w:tc>
                        </w:tr>
                      </w:tbl>
                      <w:p w:rsidR="009D45AE" w:rsidRDefault="009D45AE">
                        <w:pPr>
                          <w:rPr>
                            <w:rFonts w:eastAsia="Times New Roman"/>
                            <w:sz w:val="20"/>
                            <w:szCs w:val="20"/>
                          </w:rPr>
                        </w:pPr>
                      </w:p>
                    </w:tc>
                  </w:tr>
                </w:tbl>
                <w:p w:rsidR="009D45AE" w:rsidRDefault="009D45AE">
                  <w:pPr>
                    <w:jc w:val="center"/>
                    <w:rPr>
                      <w:rFonts w:eastAsia="Times New Roman"/>
                      <w:sz w:val="20"/>
                      <w:szCs w:val="20"/>
                    </w:rPr>
                  </w:pPr>
                </w:p>
              </w:tc>
            </w:tr>
          </w:tbl>
          <w:p w:rsidR="009D45AE" w:rsidRDefault="009D45AE">
            <w:pPr>
              <w:jc w:val="center"/>
              <w:rPr>
                <w:rFonts w:eastAsia="Times New Roman"/>
                <w:sz w:val="20"/>
                <w:szCs w:val="20"/>
              </w:rPr>
            </w:pPr>
          </w:p>
        </w:tc>
      </w:tr>
    </w:tbl>
    <w:p w:rsidR="009D45AE" w:rsidRDefault="009D45AE" w:rsidP="009D45AE">
      <w:pPr>
        <w:rPr>
          <w:rFonts w:ascii="Helvetica" w:hAnsi="Helvetica"/>
          <w:vanish/>
          <w:color w:val="0B0C0C"/>
          <w:lang w:val="en"/>
        </w:rPr>
      </w:pPr>
    </w:p>
    <w:tbl>
      <w:tblPr>
        <w:tblW w:w="5000" w:type="pct"/>
        <w:jc w:val="center"/>
        <w:tblCellMar>
          <w:left w:w="0" w:type="dxa"/>
          <w:right w:w="0" w:type="dxa"/>
        </w:tblCellMar>
        <w:tblLook w:val="04A0" w:firstRow="1" w:lastRow="0" w:firstColumn="1" w:lastColumn="0" w:noHBand="0" w:noVBand="1"/>
      </w:tblPr>
      <w:tblGrid>
        <w:gridCol w:w="150"/>
        <w:gridCol w:w="8726"/>
        <w:gridCol w:w="150"/>
      </w:tblGrid>
      <w:tr w:rsidR="009D45AE" w:rsidTr="009D45AE">
        <w:trPr>
          <w:trHeight w:val="150"/>
          <w:jc w:val="center"/>
          <w:hidden/>
        </w:trPr>
        <w:tc>
          <w:tcPr>
            <w:tcW w:w="150" w:type="dxa"/>
            <w:vAlign w:val="center"/>
            <w:hideMark/>
          </w:tcPr>
          <w:p w:rsidR="009D45AE" w:rsidRDefault="009D45AE">
            <w:pPr>
              <w:rPr>
                <w:rFonts w:ascii="Helvetica" w:hAnsi="Helvetica"/>
                <w:vanish/>
                <w:color w:val="0B0C0C"/>
                <w:lang w:val="en"/>
              </w:rPr>
            </w:pPr>
          </w:p>
        </w:tc>
        <w:tc>
          <w:tcPr>
            <w:tcW w:w="0" w:type="auto"/>
            <w:vAlign w:val="center"/>
            <w:hideMark/>
          </w:tcPr>
          <w:tbl>
            <w:tblPr>
              <w:tblW w:w="8400" w:type="dxa"/>
              <w:jc w:val="center"/>
              <w:tblCellMar>
                <w:left w:w="0" w:type="dxa"/>
                <w:right w:w="0" w:type="dxa"/>
              </w:tblCellMar>
              <w:tblLook w:val="04A0" w:firstRow="1" w:lastRow="0" w:firstColumn="1" w:lastColumn="0" w:noHBand="0" w:noVBand="1"/>
            </w:tblPr>
            <w:tblGrid>
              <w:gridCol w:w="8400"/>
            </w:tblGrid>
            <w:tr w:rsidR="009D45AE">
              <w:trPr>
                <w:trHeight w:val="150"/>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8400"/>
                  </w:tblGrid>
                  <w:tr w:rsidR="009D45AE">
                    <w:trPr>
                      <w:trHeight w:val="150"/>
                    </w:trPr>
                    <w:tc>
                      <w:tcPr>
                        <w:tcW w:w="5000" w:type="pct"/>
                        <w:shd w:val="clear" w:color="auto" w:fill="1D70B8"/>
                        <w:vAlign w:val="center"/>
                        <w:hideMark/>
                      </w:tcPr>
                      <w:p w:rsidR="009D45AE" w:rsidRDefault="009D45AE">
                        <w:pPr>
                          <w:rPr>
                            <w:rFonts w:eastAsia="Times New Roman"/>
                            <w:sz w:val="20"/>
                            <w:szCs w:val="20"/>
                          </w:rPr>
                        </w:pPr>
                      </w:p>
                    </w:tc>
                  </w:tr>
                </w:tbl>
                <w:p w:rsidR="009D45AE" w:rsidRDefault="009D45AE">
                  <w:pPr>
                    <w:rPr>
                      <w:rFonts w:eastAsia="Times New Roman"/>
                      <w:sz w:val="20"/>
                      <w:szCs w:val="20"/>
                    </w:rPr>
                  </w:pPr>
                </w:p>
              </w:tc>
            </w:tr>
          </w:tbl>
          <w:p w:rsidR="009D45AE" w:rsidRDefault="009D45AE">
            <w:pPr>
              <w:jc w:val="center"/>
              <w:rPr>
                <w:rFonts w:eastAsia="Times New Roman"/>
                <w:sz w:val="20"/>
                <w:szCs w:val="20"/>
              </w:rPr>
            </w:pPr>
          </w:p>
        </w:tc>
        <w:tc>
          <w:tcPr>
            <w:tcW w:w="150" w:type="dxa"/>
            <w:vAlign w:val="center"/>
            <w:hideMark/>
          </w:tcPr>
          <w:p w:rsidR="009D45AE" w:rsidRDefault="009D45AE">
            <w:pPr>
              <w:rPr>
                <w:rFonts w:eastAsia="Times New Roman"/>
                <w:sz w:val="20"/>
                <w:szCs w:val="20"/>
              </w:rPr>
            </w:pPr>
          </w:p>
        </w:tc>
      </w:tr>
    </w:tbl>
    <w:p w:rsidR="009D45AE" w:rsidRDefault="009D45AE" w:rsidP="009D45AE">
      <w:pPr>
        <w:rPr>
          <w:rFonts w:ascii="Helvetica" w:hAnsi="Helvetica"/>
          <w:vanish/>
          <w:color w:val="0B0C0C"/>
          <w:lang w:val="en"/>
        </w:rPr>
      </w:pPr>
    </w:p>
    <w:tbl>
      <w:tblPr>
        <w:tblW w:w="5000" w:type="pct"/>
        <w:jc w:val="center"/>
        <w:tblCellMar>
          <w:left w:w="0" w:type="dxa"/>
          <w:right w:w="0" w:type="dxa"/>
        </w:tblCellMar>
        <w:tblLook w:val="04A0" w:firstRow="1" w:lastRow="0" w:firstColumn="1" w:lastColumn="0" w:noHBand="0" w:noVBand="1"/>
      </w:tblPr>
      <w:tblGrid>
        <w:gridCol w:w="150"/>
        <w:gridCol w:w="8726"/>
        <w:gridCol w:w="150"/>
      </w:tblGrid>
      <w:tr w:rsidR="009D45AE" w:rsidTr="009D45AE">
        <w:trPr>
          <w:trHeight w:val="450"/>
          <w:jc w:val="center"/>
          <w:hidden/>
        </w:trPr>
        <w:tc>
          <w:tcPr>
            <w:tcW w:w="0" w:type="auto"/>
            <w:vAlign w:val="center"/>
            <w:hideMark/>
          </w:tcPr>
          <w:p w:rsidR="009D45AE" w:rsidRDefault="009D45AE">
            <w:pPr>
              <w:rPr>
                <w:rFonts w:ascii="Helvetica" w:hAnsi="Helvetica"/>
                <w:vanish/>
                <w:color w:val="0B0C0C"/>
                <w:lang w:val="en"/>
              </w:rPr>
            </w:pPr>
          </w:p>
        </w:tc>
        <w:tc>
          <w:tcPr>
            <w:tcW w:w="420" w:type="dxa"/>
            <w:gridSpan w:val="2"/>
            <w:vAlign w:val="center"/>
            <w:hideMark/>
          </w:tcPr>
          <w:p w:rsidR="009D45AE" w:rsidRDefault="009D45AE">
            <w:r>
              <w:t> </w:t>
            </w:r>
          </w:p>
        </w:tc>
      </w:tr>
      <w:tr w:rsidR="009D45AE" w:rsidTr="009D45AE">
        <w:trPr>
          <w:jc w:val="center"/>
        </w:trPr>
        <w:tc>
          <w:tcPr>
            <w:tcW w:w="150" w:type="dxa"/>
            <w:vAlign w:val="center"/>
            <w:hideMark/>
          </w:tcPr>
          <w:p w:rsidR="009D45AE" w:rsidRDefault="009D45AE"/>
        </w:tc>
        <w:tc>
          <w:tcPr>
            <w:tcW w:w="0" w:type="auto"/>
            <w:vAlign w:val="center"/>
            <w:hideMark/>
          </w:tcPr>
          <w:tbl>
            <w:tblPr>
              <w:tblW w:w="8400" w:type="dxa"/>
              <w:jc w:val="center"/>
              <w:tblCellMar>
                <w:left w:w="0" w:type="dxa"/>
                <w:right w:w="0" w:type="dxa"/>
              </w:tblCellMar>
              <w:tblLook w:val="04A0" w:firstRow="1" w:lastRow="0" w:firstColumn="1" w:lastColumn="0" w:noHBand="0" w:noVBand="1"/>
            </w:tblPr>
            <w:tblGrid>
              <w:gridCol w:w="8400"/>
            </w:tblGrid>
            <w:tr w:rsidR="009D45AE">
              <w:trPr>
                <w:jc w:val="center"/>
              </w:trPr>
              <w:tc>
                <w:tcPr>
                  <w:tcW w:w="0" w:type="auto"/>
                  <w:vAlign w:val="center"/>
                  <w:hideMark/>
                </w:tcPr>
                <w:p w:rsidR="009D45AE" w:rsidRDefault="009D45AE">
                  <w:pPr>
                    <w:pStyle w:val="NormalWeb"/>
                    <w:spacing w:before="0" w:beforeAutospacing="0" w:after="300" w:afterAutospacing="0" w:line="375" w:lineRule="atLeast"/>
                    <w:rPr>
                      <w:rFonts w:ascii="Helvetica" w:hAnsi="Helvetica"/>
                      <w:color w:val="0B0C0C"/>
                      <w:sz w:val="29"/>
                      <w:szCs w:val="29"/>
                    </w:rPr>
                  </w:pPr>
                  <w:r>
                    <w:rPr>
                      <w:rFonts w:ascii="Helvetica" w:hAnsi="Helvetica"/>
                      <w:color w:val="0B0C0C"/>
                      <w:sz w:val="29"/>
                      <w:szCs w:val="29"/>
                    </w:rPr>
                    <w:t>Dear colleague,</w:t>
                  </w:r>
                </w:p>
                <w:p w:rsidR="009D45AE" w:rsidRDefault="009D45AE">
                  <w:pPr>
                    <w:pStyle w:val="NormalWeb"/>
                    <w:spacing w:before="0" w:beforeAutospacing="0" w:after="300" w:afterAutospacing="0" w:line="375" w:lineRule="atLeast"/>
                    <w:rPr>
                      <w:rFonts w:ascii="Helvetica" w:hAnsi="Helvetica"/>
                      <w:color w:val="0B0C0C"/>
                      <w:sz w:val="29"/>
                      <w:szCs w:val="29"/>
                    </w:rPr>
                  </w:pPr>
                  <w:r>
                    <w:rPr>
                      <w:rFonts w:ascii="Helvetica" w:hAnsi="Helvetica"/>
                      <w:color w:val="0B0C0C"/>
                      <w:sz w:val="29"/>
                      <w:szCs w:val="29"/>
                    </w:rPr>
                    <w:t>We’ve extended the contract for all SIM cards included with 4G wireless routers to continue our support for disadvantaged children who are remote learning during the coronavirus pandemic. These SIM cards will now remain active until the end of July 2021.</w:t>
                  </w:r>
                </w:p>
                <w:p w:rsidR="009D45AE" w:rsidRDefault="009D45AE">
                  <w:pPr>
                    <w:pStyle w:val="NormalWeb"/>
                    <w:spacing w:before="0" w:beforeAutospacing="0" w:after="300" w:afterAutospacing="0" w:line="375" w:lineRule="atLeast"/>
                    <w:rPr>
                      <w:rFonts w:ascii="Helvetica" w:hAnsi="Helvetica"/>
                      <w:color w:val="0B0C0C"/>
                      <w:sz w:val="29"/>
                      <w:szCs w:val="29"/>
                    </w:rPr>
                  </w:pPr>
                  <w:r>
                    <w:rPr>
                      <w:rFonts w:ascii="Helvetica" w:hAnsi="Helvetica"/>
                      <w:color w:val="0B0C0C"/>
                      <w:sz w:val="29"/>
                      <w:szCs w:val="29"/>
                    </w:rPr>
                    <w:t>If you’re communicating this information to the families who have received these devices, you may also wish to remind them that:</w:t>
                  </w:r>
                </w:p>
                <w:tbl>
                  <w:tblPr>
                    <w:tblW w:w="0" w:type="auto"/>
                    <w:tblCellSpacing w:w="15" w:type="dxa"/>
                    <w:tblCellMar>
                      <w:left w:w="0" w:type="dxa"/>
                      <w:right w:w="0" w:type="dxa"/>
                    </w:tblCellMar>
                    <w:tblLook w:val="04A0" w:firstRow="1" w:lastRow="0" w:firstColumn="1" w:lastColumn="0" w:noHBand="0" w:noVBand="1"/>
                  </w:tblPr>
                  <w:tblGrid>
                    <w:gridCol w:w="8400"/>
                  </w:tblGrid>
                  <w:tr w:rsidR="009D45AE">
                    <w:trPr>
                      <w:tblCellSpacing w:w="15" w:type="dxa"/>
                    </w:trPr>
                    <w:tc>
                      <w:tcPr>
                        <w:tcW w:w="0" w:type="auto"/>
                        <w:tcMar>
                          <w:top w:w="0" w:type="dxa"/>
                          <w:left w:w="0" w:type="dxa"/>
                          <w:bottom w:w="300" w:type="dxa"/>
                          <w:right w:w="0" w:type="dxa"/>
                        </w:tcMar>
                        <w:vAlign w:val="center"/>
                        <w:hideMark/>
                      </w:tcPr>
                      <w:p w:rsidR="009D45AE" w:rsidRDefault="009D45AE" w:rsidP="00025836">
                        <w:pPr>
                          <w:numPr>
                            <w:ilvl w:val="0"/>
                            <w:numId w:val="1"/>
                          </w:numPr>
                          <w:spacing w:before="75" w:after="75" w:line="375" w:lineRule="atLeast"/>
                          <w:ind w:left="360"/>
                          <w:rPr>
                            <w:rFonts w:ascii="Helvetica" w:hAnsi="Helvetica"/>
                            <w:color w:val="0B0C0C"/>
                            <w:sz w:val="29"/>
                            <w:szCs w:val="29"/>
                          </w:rPr>
                        </w:pPr>
                        <w:r>
                          <w:rPr>
                            <w:rFonts w:ascii="Helvetica" w:hAnsi="Helvetica"/>
                            <w:color w:val="0B0C0C"/>
                            <w:sz w:val="29"/>
                            <w:szCs w:val="29"/>
                          </w:rPr>
                          <w:t>their router has a 20GB per month data limit that renews at the start of each month</w:t>
                        </w:r>
                      </w:p>
                      <w:p w:rsidR="009D45AE" w:rsidRDefault="009D45AE" w:rsidP="00025836">
                        <w:pPr>
                          <w:numPr>
                            <w:ilvl w:val="0"/>
                            <w:numId w:val="1"/>
                          </w:numPr>
                          <w:spacing w:before="75" w:after="75" w:line="375" w:lineRule="atLeast"/>
                          <w:ind w:left="360"/>
                          <w:rPr>
                            <w:rFonts w:ascii="Helvetica" w:hAnsi="Helvetica"/>
                            <w:color w:val="0B0C0C"/>
                            <w:sz w:val="29"/>
                            <w:szCs w:val="29"/>
                          </w:rPr>
                        </w:pPr>
                        <w:r>
                          <w:rPr>
                            <w:rFonts w:ascii="Helvetica" w:hAnsi="Helvetica"/>
                            <w:color w:val="0B0C0C"/>
                            <w:sz w:val="29"/>
                            <w:szCs w:val="29"/>
                          </w:rPr>
                          <w:t>data connections should be used primarily for education and social care services</w:t>
                        </w:r>
                      </w:p>
                      <w:p w:rsidR="009D45AE" w:rsidRDefault="009D45AE" w:rsidP="00025836">
                        <w:pPr>
                          <w:numPr>
                            <w:ilvl w:val="0"/>
                            <w:numId w:val="1"/>
                          </w:numPr>
                          <w:spacing w:before="75" w:after="75" w:line="375" w:lineRule="atLeast"/>
                          <w:ind w:left="360"/>
                          <w:rPr>
                            <w:rFonts w:ascii="Helvetica" w:hAnsi="Helvetica"/>
                            <w:color w:val="0B0C0C"/>
                            <w:sz w:val="29"/>
                            <w:szCs w:val="29"/>
                          </w:rPr>
                        </w:pPr>
                        <w:r>
                          <w:rPr>
                            <w:rFonts w:ascii="Helvetica" w:hAnsi="Helvetica"/>
                            <w:color w:val="0B0C0C"/>
                            <w:sz w:val="29"/>
                            <w:szCs w:val="29"/>
                          </w:rPr>
                          <w:t>they can reduce the amount of data they use by choosing ‘Standard Definition’ (SD) when watching videos online or making video calls</w:t>
                        </w:r>
                      </w:p>
                    </w:tc>
                  </w:tr>
                </w:tbl>
                <w:p w:rsidR="009D45AE" w:rsidRDefault="009D45AE">
                  <w:pPr>
                    <w:pStyle w:val="Heading2"/>
                    <w:spacing w:before="0" w:beforeAutospacing="0" w:after="300" w:afterAutospacing="0" w:line="525" w:lineRule="atLeast"/>
                    <w:rPr>
                      <w:rFonts w:ascii="Helvetica" w:eastAsia="Times New Roman" w:hAnsi="Helvetica"/>
                      <w:color w:val="0B0C0C"/>
                      <w:sz w:val="41"/>
                      <w:szCs w:val="41"/>
                    </w:rPr>
                  </w:pPr>
                  <w:r>
                    <w:rPr>
                      <w:rFonts w:ascii="Helvetica" w:eastAsia="Times New Roman" w:hAnsi="Helvetica"/>
                      <w:color w:val="0B0C0C"/>
                      <w:sz w:val="41"/>
                      <w:szCs w:val="41"/>
                    </w:rPr>
                    <w:t>Setting up and managing 4G routers</w:t>
                  </w:r>
                </w:p>
                <w:p w:rsidR="009D45AE" w:rsidRDefault="009D45AE">
                  <w:pPr>
                    <w:pStyle w:val="NormalWeb"/>
                    <w:spacing w:before="0" w:beforeAutospacing="0" w:after="300" w:afterAutospacing="0" w:line="375" w:lineRule="atLeast"/>
                    <w:rPr>
                      <w:rFonts w:ascii="Helvetica" w:hAnsi="Helvetica"/>
                      <w:color w:val="0B0C0C"/>
                      <w:sz w:val="29"/>
                      <w:szCs w:val="29"/>
                    </w:rPr>
                  </w:pPr>
                  <w:r>
                    <w:rPr>
                      <w:rFonts w:ascii="Helvetica" w:hAnsi="Helvetica"/>
                      <w:color w:val="0B0C0C"/>
                      <w:sz w:val="29"/>
                      <w:szCs w:val="29"/>
                    </w:rPr>
                    <w:t xml:space="preserve">We’re aware that some of the routers that have been distributed have not yet been used. </w:t>
                  </w:r>
                </w:p>
                <w:p w:rsidR="009D45AE" w:rsidRDefault="009D45AE">
                  <w:pPr>
                    <w:pStyle w:val="NormalWeb"/>
                    <w:spacing w:before="0" w:beforeAutospacing="0" w:after="300" w:afterAutospacing="0" w:line="375" w:lineRule="atLeast"/>
                    <w:rPr>
                      <w:rFonts w:ascii="Helvetica" w:hAnsi="Helvetica"/>
                      <w:color w:val="0B0C0C"/>
                      <w:sz w:val="29"/>
                      <w:szCs w:val="29"/>
                    </w:rPr>
                  </w:pPr>
                  <w:r>
                    <w:rPr>
                      <w:rFonts w:ascii="Helvetica" w:hAnsi="Helvetica"/>
                      <w:color w:val="0B0C0C"/>
                      <w:sz w:val="29"/>
                      <w:szCs w:val="29"/>
                    </w:rPr>
                    <w:t>We’ve recently updated our guidance on how to set up a 4G router, which you may wish to print and send to any families who still require access to the internet.</w:t>
                  </w:r>
                  <w:r>
                    <w:rPr>
                      <w:rFonts w:ascii="Helvetica" w:hAnsi="Helvetica"/>
                      <w:color w:val="0B0C0C"/>
                      <w:sz w:val="29"/>
                      <w:szCs w:val="29"/>
                    </w:rPr>
                    <w:br/>
                  </w:r>
                  <w:hyperlink r:id="rId6" w:history="1">
                    <w:r>
                      <w:rPr>
                        <w:rStyle w:val="Hyperlink"/>
                        <w:rFonts w:ascii="Helvetica" w:hAnsi="Helvetica"/>
                        <w:color w:val="1D70B8"/>
                        <w:sz w:val="29"/>
                        <w:szCs w:val="29"/>
                      </w:rPr>
                      <w:t>https://get-help-with-tech.education.gov.uk/devices/4g-user-guidance</w:t>
                    </w:r>
                  </w:hyperlink>
                  <w:r>
                    <w:rPr>
                      <w:rFonts w:ascii="Helvetica" w:hAnsi="Helvetica"/>
                      <w:color w:val="0B0C0C"/>
                      <w:sz w:val="29"/>
                      <w:szCs w:val="29"/>
                    </w:rPr>
                    <w:t xml:space="preserve"> </w:t>
                  </w:r>
                </w:p>
                <w:p w:rsidR="009D45AE" w:rsidRDefault="009D45AE">
                  <w:pPr>
                    <w:pStyle w:val="NormalWeb"/>
                    <w:spacing w:before="0" w:beforeAutospacing="0" w:after="300" w:afterAutospacing="0" w:line="375" w:lineRule="atLeast"/>
                    <w:rPr>
                      <w:rFonts w:ascii="Helvetica" w:hAnsi="Helvetica"/>
                      <w:color w:val="0B0C0C"/>
                      <w:sz w:val="29"/>
                      <w:szCs w:val="29"/>
                    </w:rPr>
                  </w:pPr>
                  <w:r>
                    <w:rPr>
                      <w:rFonts w:ascii="Helvetica" w:hAnsi="Helvetica"/>
                      <w:color w:val="0B0C0C"/>
                      <w:sz w:val="29"/>
                      <w:szCs w:val="29"/>
                    </w:rPr>
                    <w:lastRenderedPageBreak/>
                    <w:t>If you identify children and young people who do not need the routers that they have been allocated, you can offer them to others who may have greater need.</w:t>
                  </w:r>
                </w:p>
                <w:p w:rsidR="009D45AE" w:rsidRDefault="009D45AE">
                  <w:pPr>
                    <w:pStyle w:val="NormalWeb"/>
                    <w:spacing w:before="0" w:beforeAutospacing="0" w:after="300" w:afterAutospacing="0" w:line="375" w:lineRule="atLeast"/>
                    <w:rPr>
                      <w:rFonts w:ascii="Helvetica" w:hAnsi="Helvetica"/>
                      <w:color w:val="0B0C0C"/>
                      <w:sz w:val="29"/>
                      <w:szCs w:val="29"/>
                    </w:rPr>
                  </w:pPr>
                  <w:r>
                    <w:rPr>
                      <w:rFonts w:ascii="Helvetica" w:hAnsi="Helvetica"/>
                      <w:color w:val="0B0C0C"/>
                      <w:sz w:val="29"/>
                      <w:szCs w:val="29"/>
                    </w:rPr>
                    <w:t>If users report difficulties in connecting their router to the internet, there are a few options to try before you report a fault. Please ask the user to check if:</w:t>
                  </w:r>
                </w:p>
                <w:tbl>
                  <w:tblPr>
                    <w:tblW w:w="0" w:type="auto"/>
                    <w:tblCellSpacing w:w="15" w:type="dxa"/>
                    <w:tblCellMar>
                      <w:left w:w="0" w:type="dxa"/>
                      <w:right w:w="0" w:type="dxa"/>
                    </w:tblCellMar>
                    <w:tblLook w:val="04A0" w:firstRow="1" w:lastRow="0" w:firstColumn="1" w:lastColumn="0" w:noHBand="0" w:noVBand="1"/>
                  </w:tblPr>
                  <w:tblGrid>
                    <w:gridCol w:w="8400"/>
                  </w:tblGrid>
                  <w:tr w:rsidR="009D45AE">
                    <w:trPr>
                      <w:tblCellSpacing w:w="15" w:type="dxa"/>
                    </w:trPr>
                    <w:tc>
                      <w:tcPr>
                        <w:tcW w:w="0" w:type="auto"/>
                        <w:tcMar>
                          <w:top w:w="0" w:type="dxa"/>
                          <w:left w:w="0" w:type="dxa"/>
                          <w:bottom w:w="300" w:type="dxa"/>
                          <w:right w:w="0" w:type="dxa"/>
                        </w:tcMar>
                        <w:vAlign w:val="center"/>
                        <w:hideMark/>
                      </w:tcPr>
                      <w:p w:rsidR="009D45AE" w:rsidRDefault="009D45AE" w:rsidP="00025836">
                        <w:pPr>
                          <w:numPr>
                            <w:ilvl w:val="0"/>
                            <w:numId w:val="2"/>
                          </w:numPr>
                          <w:spacing w:before="75" w:after="75" w:line="375" w:lineRule="atLeast"/>
                          <w:ind w:left="360"/>
                          <w:rPr>
                            <w:rFonts w:ascii="Helvetica" w:hAnsi="Helvetica"/>
                            <w:color w:val="0B0C0C"/>
                            <w:sz w:val="29"/>
                            <w:szCs w:val="29"/>
                          </w:rPr>
                        </w:pPr>
                        <w:r>
                          <w:rPr>
                            <w:rFonts w:ascii="Helvetica" w:hAnsi="Helvetica"/>
                            <w:color w:val="0B0C0C"/>
                            <w:sz w:val="29"/>
                            <w:szCs w:val="29"/>
                          </w:rPr>
                          <w:t>another device (such as a smartphone) has a connection to see if there are issues in the local area</w:t>
                        </w:r>
                      </w:p>
                      <w:p w:rsidR="009D45AE" w:rsidRDefault="009D45AE" w:rsidP="00025836">
                        <w:pPr>
                          <w:numPr>
                            <w:ilvl w:val="0"/>
                            <w:numId w:val="2"/>
                          </w:numPr>
                          <w:spacing w:before="75" w:after="75" w:line="375" w:lineRule="atLeast"/>
                          <w:ind w:left="360"/>
                          <w:rPr>
                            <w:rFonts w:ascii="Helvetica" w:hAnsi="Helvetica"/>
                            <w:color w:val="0B0C0C"/>
                            <w:sz w:val="29"/>
                            <w:szCs w:val="29"/>
                          </w:rPr>
                        </w:pPr>
                        <w:r>
                          <w:rPr>
                            <w:rFonts w:ascii="Helvetica" w:hAnsi="Helvetica"/>
                            <w:color w:val="0B0C0C"/>
                            <w:sz w:val="29"/>
                            <w:szCs w:val="29"/>
                          </w:rPr>
                          <w:t>the SIM card has been removed – if it has, ask them to put it back into the router and try to connect again</w:t>
                        </w:r>
                      </w:p>
                      <w:p w:rsidR="009D45AE" w:rsidRDefault="009D45AE" w:rsidP="00025836">
                        <w:pPr>
                          <w:numPr>
                            <w:ilvl w:val="0"/>
                            <w:numId w:val="2"/>
                          </w:numPr>
                          <w:spacing w:before="75" w:after="75" w:line="375" w:lineRule="atLeast"/>
                          <w:ind w:left="360"/>
                          <w:rPr>
                            <w:rFonts w:ascii="Helvetica" w:hAnsi="Helvetica"/>
                            <w:color w:val="0B0C0C"/>
                            <w:sz w:val="29"/>
                            <w:szCs w:val="29"/>
                          </w:rPr>
                        </w:pPr>
                        <w:r>
                          <w:rPr>
                            <w:rFonts w:ascii="Helvetica" w:hAnsi="Helvetica"/>
                            <w:color w:val="0B0C0C"/>
                            <w:sz w:val="29"/>
                            <w:szCs w:val="29"/>
                          </w:rPr>
                          <w:t xml:space="preserve">the laptop or tablet they’re using can connect to the internet another way, for example by using free </w:t>
                        </w:r>
                        <w:proofErr w:type="spellStart"/>
                        <w:r>
                          <w:rPr>
                            <w:rFonts w:ascii="Helvetica" w:hAnsi="Helvetica"/>
                            <w:color w:val="0B0C0C"/>
                            <w:sz w:val="29"/>
                            <w:szCs w:val="29"/>
                          </w:rPr>
                          <w:t>wifi</w:t>
                        </w:r>
                        <w:proofErr w:type="spellEnd"/>
                        <w:r>
                          <w:rPr>
                            <w:rFonts w:ascii="Helvetica" w:hAnsi="Helvetica"/>
                            <w:color w:val="0B0C0C"/>
                            <w:sz w:val="29"/>
                            <w:szCs w:val="29"/>
                          </w:rPr>
                          <w:t xml:space="preserve"> or tethering it to a mobile phone</w:t>
                        </w:r>
                      </w:p>
                      <w:p w:rsidR="009D45AE" w:rsidRDefault="009D45AE" w:rsidP="00025836">
                        <w:pPr>
                          <w:numPr>
                            <w:ilvl w:val="0"/>
                            <w:numId w:val="2"/>
                          </w:numPr>
                          <w:spacing w:before="75" w:after="75" w:line="375" w:lineRule="atLeast"/>
                          <w:ind w:left="360"/>
                          <w:rPr>
                            <w:rFonts w:ascii="Helvetica" w:hAnsi="Helvetica"/>
                            <w:color w:val="0B0C0C"/>
                            <w:sz w:val="29"/>
                            <w:szCs w:val="29"/>
                          </w:rPr>
                        </w:pPr>
                        <w:r>
                          <w:rPr>
                            <w:rFonts w:ascii="Helvetica" w:hAnsi="Helvetica"/>
                            <w:color w:val="0B0C0C"/>
                            <w:sz w:val="29"/>
                            <w:szCs w:val="29"/>
                          </w:rPr>
                          <w:t>they can clear the cache on the web browser they’re using, then try to connect again</w:t>
                        </w:r>
                      </w:p>
                    </w:tc>
                  </w:tr>
                </w:tbl>
                <w:p w:rsidR="009D45AE" w:rsidRDefault="009D45AE">
                  <w:pPr>
                    <w:pStyle w:val="NormalWeb"/>
                    <w:spacing w:before="0" w:beforeAutospacing="0" w:after="300" w:afterAutospacing="0" w:line="375" w:lineRule="atLeast"/>
                    <w:rPr>
                      <w:rFonts w:ascii="Helvetica" w:hAnsi="Helvetica"/>
                      <w:color w:val="0B0C0C"/>
                      <w:sz w:val="29"/>
                      <w:szCs w:val="29"/>
                    </w:rPr>
                  </w:pPr>
                  <w:r>
                    <w:rPr>
                      <w:rFonts w:ascii="Helvetica" w:hAnsi="Helvetica"/>
                      <w:color w:val="0B0C0C"/>
                      <w:sz w:val="29"/>
                      <w:szCs w:val="29"/>
                    </w:rPr>
                    <w:t>Technical support is available should the above steps not solve the issue.</w:t>
                  </w:r>
                  <w:r>
                    <w:rPr>
                      <w:rFonts w:ascii="Helvetica" w:hAnsi="Helvetica"/>
                      <w:color w:val="0B0C0C"/>
                      <w:sz w:val="29"/>
                      <w:szCs w:val="29"/>
                    </w:rPr>
                    <w:br/>
                  </w:r>
                  <w:hyperlink r:id="rId7" w:history="1">
                    <w:r>
                      <w:rPr>
                        <w:rStyle w:val="Hyperlink"/>
                        <w:rFonts w:ascii="Helvetica" w:hAnsi="Helvetica"/>
                        <w:color w:val="1D70B8"/>
                        <w:sz w:val="29"/>
                        <w:szCs w:val="29"/>
                      </w:rPr>
                      <w:t>https://get-help-with-tech.education.gov.uk/devices/4g-user-guidance#technical-support</w:t>
                    </w:r>
                  </w:hyperlink>
                </w:p>
                <w:p w:rsidR="009D45AE" w:rsidRDefault="009D45AE">
                  <w:pPr>
                    <w:pStyle w:val="NormalWeb"/>
                    <w:spacing w:before="0" w:beforeAutospacing="0" w:after="300" w:afterAutospacing="0" w:line="375" w:lineRule="atLeast"/>
                    <w:rPr>
                      <w:rFonts w:ascii="Helvetica" w:hAnsi="Helvetica"/>
                      <w:color w:val="0B0C0C"/>
                      <w:sz w:val="29"/>
                      <w:szCs w:val="29"/>
                    </w:rPr>
                  </w:pPr>
                  <w:r>
                    <w:rPr>
                      <w:rFonts w:ascii="Helvetica" w:hAnsi="Helvetica"/>
                      <w:color w:val="0B0C0C"/>
                      <w:sz w:val="29"/>
                      <w:szCs w:val="29"/>
                    </w:rPr>
                    <w:t>Regards,</w:t>
                  </w:r>
                </w:p>
                <w:p w:rsidR="009D45AE" w:rsidRDefault="009D45AE">
                  <w:pPr>
                    <w:pStyle w:val="NormalWeb"/>
                    <w:spacing w:before="0" w:beforeAutospacing="0" w:after="300" w:afterAutospacing="0" w:line="375" w:lineRule="atLeast"/>
                    <w:rPr>
                      <w:rFonts w:ascii="Helvetica" w:hAnsi="Helvetica"/>
                      <w:color w:val="0B0C0C"/>
                      <w:sz w:val="29"/>
                      <w:szCs w:val="29"/>
                    </w:rPr>
                  </w:pPr>
                  <w:r>
                    <w:rPr>
                      <w:rFonts w:ascii="Helvetica" w:hAnsi="Helvetica"/>
                      <w:color w:val="0B0C0C"/>
                      <w:sz w:val="29"/>
                      <w:szCs w:val="29"/>
                    </w:rPr>
                    <w:t>Get help with technology team</w:t>
                  </w:r>
                </w:p>
              </w:tc>
            </w:tr>
          </w:tbl>
          <w:p w:rsidR="009D45AE" w:rsidRDefault="009D45AE">
            <w:pPr>
              <w:jc w:val="center"/>
              <w:rPr>
                <w:rFonts w:eastAsia="Times New Roman"/>
                <w:sz w:val="20"/>
                <w:szCs w:val="20"/>
              </w:rPr>
            </w:pPr>
          </w:p>
        </w:tc>
        <w:tc>
          <w:tcPr>
            <w:tcW w:w="150" w:type="dxa"/>
            <w:vAlign w:val="center"/>
            <w:hideMark/>
          </w:tcPr>
          <w:p w:rsidR="009D45AE" w:rsidRDefault="009D45AE">
            <w:pPr>
              <w:rPr>
                <w:rFonts w:eastAsia="Times New Roman"/>
                <w:sz w:val="20"/>
                <w:szCs w:val="20"/>
              </w:rPr>
            </w:pPr>
          </w:p>
        </w:tc>
      </w:tr>
    </w:tbl>
    <w:p w:rsidR="00B33B30" w:rsidRDefault="009D45AE"/>
    <w:sectPr w:rsidR="00B33B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B40D30"/>
    <w:multiLevelType w:val="multilevel"/>
    <w:tmpl w:val="204A0F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21C5CB5"/>
    <w:multiLevelType w:val="multilevel"/>
    <w:tmpl w:val="CDC8E7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5AE"/>
    <w:rsid w:val="009D45AE"/>
    <w:rsid w:val="00A400E0"/>
    <w:rsid w:val="00F82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F5C7F-890D-4B77-ABD4-CE40F90A2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5AE"/>
    <w:pPr>
      <w:spacing w:after="0" w:line="240" w:lineRule="auto"/>
    </w:pPr>
    <w:rPr>
      <w:rFonts w:ascii="Times New Roman" w:hAnsi="Times New Roman" w:cs="Times New Roman"/>
      <w:sz w:val="24"/>
      <w:szCs w:val="24"/>
      <w:lang w:eastAsia="en-GB"/>
    </w:rPr>
  </w:style>
  <w:style w:type="paragraph" w:styleId="Heading2">
    <w:name w:val="heading 2"/>
    <w:basedOn w:val="Normal"/>
    <w:link w:val="Heading2Char"/>
    <w:uiPriority w:val="9"/>
    <w:semiHidden/>
    <w:unhideWhenUsed/>
    <w:qFormat/>
    <w:rsid w:val="009D45A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D45AE"/>
    <w:rPr>
      <w:rFonts w:ascii="Times New Roman" w:hAnsi="Times New Roman" w:cs="Times New Roman"/>
      <w:b/>
      <w:bCs/>
      <w:sz w:val="36"/>
      <w:szCs w:val="36"/>
      <w:lang w:eastAsia="en-GB"/>
    </w:rPr>
  </w:style>
  <w:style w:type="character" w:styleId="Hyperlink">
    <w:name w:val="Hyperlink"/>
    <w:basedOn w:val="DefaultParagraphFont"/>
    <w:uiPriority w:val="99"/>
    <w:semiHidden/>
    <w:unhideWhenUsed/>
    <w:rsid w:val="009D45AE"/>
    <w:rPr>
      <w:color w:val="0000FF"/>
      <w:u w:val="single"/>
    </w:rPr>
  </w:style>
  <w:style w:type="paragraph" w:styleId="NormalWeb">
    <w:name w:val="Normal (Web)"/>
    <w:basedOn w:val="Normal"/>
    <w:uiPriority w:val="99"/>
    <w:semiHidden/>
    <w:unhideWhenUsed/>
    <w:rsid w:val="009D45A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21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ldefense.com/v3/__https:/get-help-with-tech.education.gov.uk/devices/4g-user-guidance*technical-support__;Iw!!CVb4j_0G!BEeirhe4Sk6VYTO-564J795PCsrfRojrMZfd0TKsYQfjY7pkPpWX3UL_YKl2Z3KaRNFAlHtPcy37k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com/v3/__https:/get-help-with-tech.education.gov.uk/devices/4g-user-guidance__;!!CVb4j_0G!BEeirhe4Sk6VYTO-564J795PCsrfRojrMZfd0TKsYQfjY7pkPpWX3UL_YKl2Z3KaRNFAlHtdoZ7JJw$"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Maginn, Bronagh</dc:creator>
  <cp:keywords/>
  <dc:description/>
  <cp:lastModifiedBy>Maginn, Bronagh</cp:lastModifiedBy>
  <cp:revision>1</cp:revision>
  <dcterms:created xsi:type="dcterms:W3CDTF">2021-01-26T13:45:00Z</dcterms:created>
  <dcterms:modified xsi:type="dcterms:W3CDTF">2021-01-26T13:46:00Z</dcterms:modified>
</cp:coreProperties>
</file>